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36fdb125846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SIKTE ANALYSE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SIKTE ANALYSE AS</w:t>
      </w:r>
    </w:p>
    <w:sectPr>
      <w:headerReference xmlns:r="http://schemas.openxmlformats.org/officeDocument/2006/relationships" w:type="default" r:id="Ra49ec9f702624836"/>
      <w:footerReference xmlns:r="http://schemas.openxmlformats.org/officeDocument/2006/relationships" w:type="default" r:id="R43a99bc3ff5844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SIKTE ANALYSE AS   ·   Org.nr 929 366 387   ·   c/o Bjørn Bruland, Buflåtveien 9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SIKTE ANALYSE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9ec9f702624836" /><Relationship Type="http://schemas.openxmlformats.org/officeDocument/2006/relationships/footer" Target="/word/footer1.xml" Id="R43a99bc3ff5844fe" /></Relationships>
</file>