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c330ad52f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ACRYLICON ROGALAND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ACRYLICON ROGALAND AS</w:t>
      </w:r>
    </w:p>
    <w:sectPr>
      <w:headerReference xmlns:r="http://schemas.openxmlformats.org/officeDocument/2006/relationships" w:type="default" r:id="R3123b61ddaee47b0"/>
      <w:footerReference xmlns:r="http://schemas.openxmlformats.org/officeDocument/2006/relationships" w:type="default" r:id="R93a555a8f80e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ACRYLICON ROGALAND AS   ·   Org.nr 985 400 792   ·   Eikeskogvegen 22   ·   5570 AKSDAL   ·   Tlf. 52 77 47 70   ·   lars@acrylicon.no   ·   www.acrylicon.no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ACRYLICON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3b61ddaee47b0" /><Relationship Type="http://schemas.openxmlformats.org/officeDocument/2006/relationships/footer" Target="/word/footer1.xml" Id="R93a555a8f80e4088" /></Relationships>
</file>